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Молчановская средняя школа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C6026">
        <w:rPr>
          <w:lang w:val="ru-RU"/>
        </w:rPr>
        <w:br/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«Молчановская С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W w:w="101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3"/>
        <w:gridCol w:w="6286"/>
      </w:tblGrid>
      <w:tr w:rsidR="00EC6026" w:rsidRPr="00EC6026" w:rsidTr="00EC6026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 w:rsidP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«Молчановская СШ»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026" w:rsidRDefault="00EC6026" w:rsidP="00EC60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EC602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«Молчановская СШ»</w:t>
            </w:r>
            <w:r w:rsidRPr="00EC602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Т.В.Ахромеева </w:t>
            </w:r>
          </w:p>
          <w:p w:rsidR="00EC6026" w:rsidRDefault="00EC6026" w:rsidP="00EC60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Приказ №_____ от «_____»______2023</w:t>
            </w:r>
          </w:p>
          <w:p w:rsidR="00062039" w:rsidRPr="00EC6026" w:rsidRDefault="00EC6026" w:rsidP="00EC60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062039" w:rsidRPr="00EC6026" w:rsidRDefault="000620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EC6026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униципального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казенного 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 учреждения</w:t>
      </w:r>
      <w:r w:rsidRPr="00EC6026">
        <w:rPr>
          <w:lang w:val="ru-RU"/>
        </w:rPr>
        <w:br/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Молчановская средняя школа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 год</w:t>
      </w:r>
    </w:p>
    <w:p w:rsidR="00062039" w:rsidRPr="00EC6026" w:rsidRDefault="000620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039" w:rsidRDefault="00EC602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Общие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42"/>
        <w:gridCol w:w="6335"/>
      </w:tblGrid>
      <w:tr w:rsidR="00EC6026" w:rsidRPr="00EC60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 w:rsidP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общеобразовательное 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Молчановская средняя школа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«Молчановская СШ»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C60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Ахромеева Татьяна Ва</w:t>
            </w:r>
            <w:r w:rsidR="001D0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ильевна</w:t>
            </w:r>
          </w:p>
        </w:tc>
      </w:tr>
      <w:tr w:rsidR="00EC6026" w:rsidRPr="00C8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 w:rsidP="00EC60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301984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Тульская область, Каменский район, п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олчаново, ул.Школьная, д.4</w:t>
            </w:r>
          </w:p>
        </w:tc>
      </w:tr>
      <w:tr w:rsidR="00EC60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 w:rsidP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848744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3-27-23</w:t>
            </w:r>
          </w:p>
        </w:tc>
      </w:tr>
      <w:tr w:rsidR="001D0019" w:rsidTr="008760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019" w:rsidRDefault="001D0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019" w:rsidRPr="00FB431C" w:rsidRDefault="001D0019" w:rsidP="00B8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Molchanovskaya.kamen@tularegion.org</w:t>
            </w:r>
          </w:p>
        </w:tc>
      </w:tr>
      <w:tr w:rsidR="001D0019" w:rsidTr="008760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019" w:rsidRDefault="001D0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019" w:rsidRPr="00FB431C" w:rsidRDefault="001D0019" w:rsidP="00B8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</w:t>
            </w:r>
            <w:proofErr w:type="spellEnd"/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spellEnd"/>
          </w:p>
        </w:tc>
      </w:tr>
      <w:tr w:rsidR="001D0019" w:rsidTr="008760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019" w:rsidRDefault="001D00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019" w:rsidRPr="00FB431C" w:rsidRDefault="001D0019" w:rsidP="00B8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1974год</w:t>
            </w:r>
          </w:p>
        </w:tc>
      </w:tr>
      <w:tr w:rsidR="001D0019" w:rsidTr="008760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019" w:rsidRDefault="001D0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019" w:rsidRPr="00FB431C" w:rsidRDefault="001D0019" w:rsidP="00B8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 19.03.2015 № 0133/ 02310, </w:t>
            </w: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серия</w:t>
            </w:r>
            <w:proofErr w:type="spellEnd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71 Л01 № 0001526</w:t>
            </w:r>
          </w:p>
        </w:tc>
      </w:tr>
      <w:tr w:rsidR="001D0019" w:rsidRPr="001D0019" w:rsidTr="008760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019" w:rsidRDefault="001D0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019" w:rsidRPr="001D0019" w:rsidRDefault="001D0019" w:rsidP="001D00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От 22.04.2015 № 0134/01160, серия 71 А02  № 000244; срок действия: до 17июня 2023 года</w:t>
            </w:r>
          </w:p>
        </w:tc>
      </w:tr>
    </w:tbl>
    <w:p w:rsidR="001D0019" w:rsidRPr="001D0019" w:rsidRDefault="001D0019" w:rsidP="001D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МКОУ «Молчановская СШ» (далее – Школа) расположена в поселке Молчаново. Большинство семей обучающихся проживают в домах типовой застройки: 81 процент − рядом со Школой, 19 процентов – на близлежащих улицах.</w:t>
      </w:r>
    </w:p>
    <w:p w:rsidR="001D0019" w:rsidRPr="001D0019" w:rsidRDefault="001D0019" w:rsidP="001D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Основным видом деятельности Школы является реализация </w:t>
      </w:r>
      <w:proofErr w:type="gramStart"/>
      <w:r w:rsidRPr="001D00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общеобразовательных</w:t>
      </w:r>
      <w:proofErr w:type="gramEnd"/>
      <w:r w:rsidRPr="001D00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программ дошкольного общего, начального общего, основного общего и среднего </w:t>
      </w:r>
      <w:r w:rsidRPr="001D00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общего образования. Также Школа реализует образовательные программы дополнительного образования детей и взрослых.</w:t>
      </w: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организовали обучение 1-х, 5-х и 10-х классов по ООП, разработанным по обновленным ФГОС НОО, ООО и СОО. Мониторинг показал, что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0019">
        <w:rPr>
          <w:rFonts w:hAnsi="Times New Roman" w:cs="Times New Roman"/>
          <w:color w:val="000000"/>
          <w:sz w:val="24"/>
          <w:szCs w:val="24"/>
          <w:lang w:val="ru-RU"/>
        </w:rPr>
        <w:t>завхоз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графику, утвержденному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работы, которые являются частью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1D0019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</w:p>
    <w:p w:rsidR="001D0019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lang w:val="ru-RU"/>
        </w:rPr>
        <w:br/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EC6026">
        <w:rPr>
          <w:lang w:val="ru-RU"/>
        </w:rPr>
        <w:br/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1D0019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</w:p>
    <w:p w:rsidR="001D0019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lang w:val="ru-RU"/>
        </w:rPr>
        <w:br/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</w:p>
    <w:p w:rsidR="001D0019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D00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школьного спортивного клуба;</w:t>
      </w:r>
    </w:p>
    <w:p w:rsidR="001D0019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lang w:val="ru-RU"/>
        </w:rPr>
        <w:br/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</w:p>
    <w:p w:rsidR="001D0019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</w:p>
    <w:p w:rsidR="001D0019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За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2023/24 учебный год.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мае 2022 года Школа организовала проведение обучающих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онлайн-семинаров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учителей совместно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специалистами ЦПМСС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специалистами центра «Катарсис»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здорового образа жизни, диагностики неадекватного состояния учащихся. Школа проводила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систематическую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062039" w:rsidRPr="00EC6026" w:rsidRDefault="00EC60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062039" w:rsidRPr="00EC6026" w:rsidRDefault="00EC6026" w:rsidP="001D001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062039" w:rsidRPr="00EC6026" w:rsidRDefault="00EC60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spellStart"/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spellEnd"/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2039" w:rsidRPr="00EC6026" w:rsidRDefault="00EC60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062039" w:rsidRPr="00EC6026" w:rsidRDefault="00EC602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онлайн-лекции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062039" w:rsidRDefault="00EC602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2039" w:rsidRPr="001D0019" w:rsidRDefault="001D0019" w:rsidP="001D00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D00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C6026" w:rsidRPr="001D0019">
        <w:rPr>
          <w:rFonts w:hAnsi="Times New Roman" w:cs="Times New Roman"/>
          <w:color w:val="000000"/>
          <w:sz w:val="24"/>
          <w:szCs w:val="24"/>
        </w:rPr>
        <w:t>художественное</w:t>
      </w:r>
      <w:proofErr w:type="spellEnd"/>
      <w:r w:rsidR="00EC6026" w:rsidRPr="001D0019">
        <w:rPr>
          <w:rFonts w:hAnsi="Times New Roman" w:cs="Times New Roman"/>
          <w:color w:val="000000"/>
          <w:sz w:val="24"/>
          <w:szCs w:val="24"/>
        </w:rPr>
        <w:t>;</w:t>
      </w:r>
    </w:p>
    <w:p w:rsidR="00062039" w:rsidRDefault="00EC602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062039" w:rsidRDefault="00062039" w:rsidP="001D0019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сентябре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года.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опроса </w:t>
      </w:r>
      <w:r w:rsidR="001D0019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0019">
        <w:rPr>
          <w:rFonts w:hAnsi="Times New Roman" w:cs="Times New Roman"/>
          <w:color w:val="000000"/>
          <w:sz w:val="24"/>
          <w:szCs w:val="24"/>
          <w:lang w:val="ru-RU"/>
        </w:rPr>
        <w:t xml:space="preserve">16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выявили, что </w:t>
      </w:r>
      <w:proofErr w:type="spellStart"/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spellEnd"/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направление выбрало 5</w:t>
      </w:r>
      <w:r w:rsidR="001D00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процентов, художественное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D0019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процентов, физкультурно-спортивное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D001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2021/2022 учебного года пришлось периодически проводить дистанционные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дополнительного образования.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Учет родительского мнения показал, что почти половина родителей (законных представителей)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удовлетворены подобным форматом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 образованию.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Тем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опрос родителей (законных представителей)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сентябре 2022 года показал, что большая часть опрошенных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062039" w:rsidRPr="00EC6026" w:rsidRDefault="000620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062039" w:rsidRDefault="00EC602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4"/>
        <w:gridCol w:w="7173"/>
      </w:tblGrid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9170E" w:rsidRPr="00EC60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70E" w:rsidRPr="00FB431C" w:rsidRDefault="0069170E" w:rsidP="00B8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компетенции директора Учреждения относиться осуществление текущего руководства его деятельностью, в том числе: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и организация образовательной деятельности, ответственность за качество и эффективность работы Учреждения;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учебных планов, календарного учебного графика и расписание занятий; составление и утверждение штатного расписания, тарификационных списков, должностных обязанностей работников; прием на работу и увольнение педагогического, административного и обслуживающего персонала Учреждения; обеспечение охраны жизни и здоровья участников образовательных отношений, обеспечение их социальной защиты;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170E" w:rsidRPr="00C84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70E" w:rsidRPr="00FB431C" w:rsidRDefault="0069170E" w:rsidP="00B8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Совет</w:t>
            </w:r>
            <w:proofErr w:type="spellEnd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Учреждения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решения по вопросу обеспечения безопасности и охраны Учреждения,  принимает необходимые меры, ограждающие педагогических работников и административный персонал Учреждения от необоснованных вмешательств в их профессиональную деятельность; содействует организации и улучшению условий труда педагогических и других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 Учреждения; содействует организации конкурсов, соревнований и других массовых внешкольных мероприятий Учреждения;  содействует совершенствованию материально-технической базы Учреждения,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благоустройству его помещений и территории; </w:t>
            </w:r>
            <w:proofErr w:type="gramEnd"/>
          </w:p>
          <w:p w:rsidR="0069170E" w:rsidRPr="0069170E" w:rsidRDefault="0069170E" w:rsidP="00B81DE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69170E" w:rsidRPr="00691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70E" w:rsidRPr="00FB431C" w:rsidRDefault="0069170E" w:rsidP="00B8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Педагогический </w:t>
            </w: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совет Учреждения в пределах своей компетенции: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разрабатывает и принимает программу развития Учреждения, 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повышения качества образовательного процесса, представляет 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директору для последующего утверждения;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утверждает план работы </w:t>
            </w:r>
            <w:proofErr w:type="gramStart"/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год;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решения о допуске выпускников к государственной итоговой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аттестации и переводе учащихся в </w:t>
            </w:r>
            <w:proofErr w:type="gramStart"/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следующий</w:t>
            </w:r>
            <w:proofErr w:type="gramEnd"/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класс;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решение о выдаче соответствующих документов об образовании,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награждении и поощрении обучающихся и педагогических работников;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решения по любым вопросам, касающимся содержания образования;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осуществляет оценку показателей эффективности деятельности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 Учреждения;</w:t>
            </w:r>
          </w:p>
          <w:p w:rsidR="0069170E" w:rsidRPr="0069170E" w:rsidRDefault="0069170E" w:rsidP="00B81DE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избирает из своего состава кандидатуры в состав Совета Учреждения;</w:t>
            </w:r>
          </w:p>
        </w:tc>
      </w:tr>
      <w:tr w:rsidR="0069170E" w:rsidRPr="00EC60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70E" w:rsidRPr="00FB431C" w:rsidRDefault="0069170E" w:rsidP="00B8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Общее</w:t>
            </w:r>
            <w:proofErr w:type="spellEnd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собрание</w:t>
            </w:r>
            <w:proofErr w:type="spellEnd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собрание работников в пределах своей компетенции: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участие в разработке коллективного договора, локальных нормативных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 Учреждения, затрагивающих права и законные интересы работников;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избирает кандидатуры от Учреждения в общественные организации и органы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управления;</w:t>
            </w:r>
          </w:p>
          <w:p w:rsidR="0069170E" w:rsidRPr="0069170E" w:rsidRDefault="0069170E" w:rsidP="006917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рассматривает вопросы о награждении работников Учреждения отраслевыми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ведомственными наградами</w:t>
            </w:r>
          </w:p>
        </w:tc>
      </w:tr>
    </w:tbl>
    <w:p w:rsidR="00062039" w:rsidRPr="00EC6026" w:rsidRDefault="00EC6026" w:rsidP="006917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062039" w:rsidRPr="00EC6026" w:rsidRDefault="00EC602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062039" w:rsidRPr="00EC6026" w:rsidRDefault="00EC6026" w:rsidP="0069170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062039" w:rsidRDefault="00EC602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039" w:rsidRPr="00EC6026" w:rsidRDefault="00EC6026" w:rsidP="006917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062039" w:rsidRPr="00EC6026" w:rsidRDefault="00EC6026" w:rsidP="006917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2022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62039" w:rsidRPr="0069170E" w:rsidRDefault="00EC6026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69170E">
        <w:rPr>
          <w:rFonts w:hAnsi="Times New Roman" w:cs="Times New Roman"/>
          <w:b/>
          <w:bCs/>
          <w:color w:val="FF0000"/>
          <w:sz w:val="24"/>
          <w:szCs w:val="24"/>
        </w:rPr>
        <w:t>III</w:t>
      </w:r>
      <w:r w:rsidRPr="0069170E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. Оценка содержания и</w:t>
      </w:r>
      <w:r w:rsidRPr="0069170E">
        <w:rPr>
          <w:rFonts w:hAnsi="Times New Roman" w:cs="Times New Roman"/>
          <w:b/>
          <w:bCs/>
          <w:color w:val="FF0000"/>
          <w:sz w:val="24"/>
          <w:szCs w:val="24"/>
        </w:rPr>
        <w:t> </w:t>
      </w:r>
      <w:r w:rsidRPr="0069170E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качества подготовки обучающихся</w:t>
      </w:r>
    </w:p>
    <w:p w:rsidR="00062039" w:rsidRPr="0069170E" w:rsidRDefault="00EC6026">
      <w:pPr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69170E">
        <w:rPr>
          <w:rFonts w:hAnsi="Times New Roman" w:cs="Times New Roman"/>
          <w:color w:val="FF0000"/>
          <w:sz w:val="24"/>
          <w:szCs w:val="24"/>
        </w:rPr>
        <w:t>Статистика</w:t>
      </w:r>
      <w:proofErr w:type="spellEnd"/>
      <w:r w:rsidRPr="0069170E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9170E">
        <w:rPr>
          <w:rFonts w:hAnsi="Times New Roman" w:cs="Times New Roman"/>
          <w:color w:val="FF0000"/>
          <w:sz w:val="24"/>
          <w:szCs w:val="24"/>
        </w:rPr>
        <w:t>показателей</w:t>
      </w:r>
      <w:proofErr w:type="spellEnd"/>
      <w:r w:rsidRPr="0069170E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9170E">
        <w:rPr>
          <w:rFonts w:hAnsi="Times New Roman" w:cs="Times New Roman"/>
          <w:color w:val="FF0000"/>
          <w:sz w:val="24"/>
          <w:szCs w:val="24"/>
        </w:rPr>
        <w:t>за</w:t>
      </w:r>
      <w:proofErr w:type="spellEnd"/>
      <w:r w:rsidRPr="0069170E">
        <w:rPr>
          <w:rFonts w:hAnsi="Times New Roman" w:cs="Times New Roman"/>
          <w:color w:val="FF0000"/>
          <w:sz w:val="24"/>
          <w:szCs w:val="24"/>
        </w:rPr>
        <w:t> 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9"/>
        <w:gridCol w:w="3586"/>
        <w:gridCol w:w="1182"/>
        <w:gridCol w:w="1182"/>
        <w:gridCol w:w="1182"/>
        <w:gridCol w:w="1466"/>
      </w:tblGrid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2022 года</w:t>
            </w:r>
          </w:p>
        </w:tc>
      </w:tr>
      <w:tr w:rsidR="000620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детей, </w:t>
            </w:r>
            <w:proofErr w:type="gramStart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обучавшихся</w:t>
            </w:r>
            <w:proofErr w:type="gramEnd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863</w:t>
            </w: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062039" w:rsidRPr="00EC60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учеников, 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620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62039" w:rsidRPr="00EC60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сохраняется, при этом стабильно растет количество обучающихся Школы.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2022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было.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062039" w:rsidRDefault="00EC602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4"/>
        <w:gridCol w:w="706"/>
        <w:gridCol w:w="601"/>
        <w:gridCol w:w="488"/>
        <w:gridCol w:w="1176"/>
        <w:gridCol w:w="376"/>
        <w:gridCol w:w="1383"/>
        <w:gridCol w:w="376"/>
        <w:gridCol w:w="601"/>
        <w:gridCol w:w="338"/>
        <w:gridCol w:w="601"/>
        <w:gridCol w:w="338"/>
        <w:gridCol w:w="902"/>
        <w:gridCol w:w="427"/>
      </w:tblGrid>
      <w:tr w:rsidR="00062039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062039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2021 был 50,4%),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12,5%).</w:t>
      </w:r>
      <w:proofErr w:type="gramEnd"/>
    </w:p>
    <w:p w:rsidR="00062039" w:rsidRDefault="00EC602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0"/>
        <w:gridCol w:w="725"/>
        <w:gridCol w:w="617"/>
        <w:gridCol w:w="500"/>
        <w:gridCol w:w="1213"/>
        <w:gridCol w:w="384"/>
        <w:gridCol w:w="1213"/>
        <w:gridCol w:w="345"/>
        <w:gridCol w:w="617"/>
        <w:gridCol w:w="345"/>
        <w:gridCol w:w="617"/>
        <w:gridCol w:w="345"/>
        <w:gridCol w:w="929"/>
        <w:gridCol w:w="437"/>
      </w:tblGrid>
      <w:tr w:rsidR="000620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2021 был 33,7%),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2,3%).</w:t>
      </w:r>
      <w:proofErr w:type="gramEnd"/>
    </w:p>
    <w:p w:rsidR="00062039" w:rsidRDefault="00EC602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644"/>
        <w:gridCol w:w="551"/>
        <w:gridCol w:w="450"/>
        <w:gridCol w:w="1062"/>
        <w:gridCol w:w="350"/>
        <w:gridCol w:w="1062"/>
        <w:gridCol w:w="350"/>
        <w:gridCol w:w="551"/>
        <w:gridCol w:w="317"/>
        <w:gridCol w:w="551"/>
        <w:gridCol w:w="317"/>
        <w:gridCol w:w="818"/>
        <w:gridCol w:w="396"/>
        <w:gridCol w:w="355"/>
        <w:gridCol w:w="619"/>
      </w:tblGrid>
      <w:tr w:rsidR="000620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2022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2021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2021 было 9%).</w:t>
      </w:r>
    </w:p>
    <w:p w:rsidR="00062039" w:rsidRPr="00EC6026" w:rsidRDefault="00EC6026" w:rsidP="006917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ВПР проводили в два этапа: в марте – в 4-х и 10-х классах, в сентябре и октябре – в 5-9-х классах. </w:t>
      </w:r>
      <w:r w:rsidR="0069170E" w:rsidRPr="00EC6026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9170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компьютерной форме </w:t>
      </w:r>
      <w:r w:rsidR="0069170E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проводили</w:t>
      </w:r>
      <w:r w:rsidR="006917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17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2039" w:rsidRPr="00EC6026" w:rsidRDefault="00EC6026" w:rsidP="006917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контрольные работы в компьютерной форме аналогичные ВПР, чтобы выявить, насколько форма выполнения задания влияет на результаты.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4303">
        <w:rPr>
          <w:rFonts w:hAnsi="Times New Roman" w:cs="Times New Roman"/>
          <w:color w:val="FF0000"/>
          <w:sz w:val="24"/>
          <w:szCs w:val="24"/>
          <w:lang w:val="ru-RU"/>
        </w:rPr>
        <w:t>Анализ результатов ГИА-22</w:t>
      </w:r>
      <w:r w:rsidRPr="007C4303">
        <w:rPr>
          <w:rFonts w:hAnsi="Times New Roman" w:cs="Times New Roman"/>
          <w:color w:val="FF0000"/>
          <w:sz w:val="24"/>
          <w:szCs w:val="24"/>
        </w:rPr>
        <w:t> </w:t>
      </w:r>
      <w:r w:rsidRPr="007C4303">
        <w:rPr>
          <w:rFonts w:hAnsi="Times New Roman" w:cs="Times New Roman"/>
          <w:color w:val="FF0000"/>
          <w:sz w:val="24"/>
          <w:szCs w:val="24"/>
          <w:lang w:val="ru-RU"/>
        </w:rPr>
        <w:t>показывает, что в</w:t>
      </w:r>
      <w:r w:rsidRPr="007C4303">
        <w:rPr>
          <w:rFonts w:hAnsi="Times New Roman" w:cs="Times New Roman"/>
          <w:color w:val="FF0000"/>
          <w:sz w:val="24"/>
          <w:szCs w:val="24"/>
        </w:rPr>
        <w:t> </w:t>
      </w:r>
      <w:r w:rsidRPr="007C4303">
        <w:rPr>
          <w:rFonts w:hAnsi="Times New Roman" w:cs="Times New Roman"/>
          <w:color w:val="FF0000"/>
          <w:sz w:val="24"/>
          <w:szCs w:val="24"/>
          <w:lang w:val="ru-RU"/>
        </w:rPr>
        <w:t>полтора раза уменьшилось число учеников с</w:t>
      </w:r>
      <w:r w:rsidRPr="007C4303">
        <w:rPr>
          <w:rFonts w:hAnsi="Times New Roman" w:cs="Times New Roman"/>
          <w:color w:val="FF0000"/>
          <w:sz w:val="24"/>
          <w:szCs w:val="24"/>
        </w:rPr>
        <w:t> </w:t>
      </w:r>
      <w:r w:rsidRPr="007C4303">
        <w:rPr>
          <w:rFonts w:hAnsi="Times New Roman" w:cs="Times New Roman"/>
          <w:color w:val="FF0000"/>
          <w:sz w:val="24"/>
          <w:szCs w:val="24"/>
          <w:lang w:val="ru-RU"/>
        </w:rPr>
        <w:t>одной тройкой. 15% для поступления в</w:t>
      </w:r>
      <w:r w:rsidRPr="007C4303">
        <w:rPr>
          <w:rFonts w:hAnsi="Times New Roman" w:cs="Times New Roman"/>
          <w:color w:val="FF0000"/>
          <w:sz w:val="24"/>
          <w:szCs w:val="24"/>
        </w:rPr>
        <w:t> </w:t>
      </w:r>
      <w:r w:rsidRPr="007C4303">
        <w:rPr>
          <w:rFonts w:hAnsi="Times New Roman" w:cs="Times New Roman"/>
          <w:color w:val="FF0000"/>
          <w:sz w:val="24"/>
          <w:szCs w:val="24"/>
          <w:lang w:val="ru-RU"/>
        </w:rPr>
        <w:t>вуз сдавали обществознание, 7%</w:t>
      </w:r>
      <w:r w:rsidRPr="007C4303">
        <w:rPr>
          <w:rFonts w:hAnsi="Times New Roman" w:cs="Times New Roman"/>
          <w:color w:val="FF0000"/>
          <w:sz w:val="24"/>
          <w:szCs w:val="24"/>
        </w:rPr>
        <w:t> </w:t>
      </w:r>
      <w:r w:rsidRPr="007C4303">
        <w:rPr>
          <w:rFonts w:hAnsi="Times New Roman" w:cs="Times New Roman"/>
          <w:color w:val="FF0000"/>
          <w:sz w:val="24"/>
          <w:szCs w:val="24"/>
          <w:lang w:val="ru-RU"/>
        </w:rPr>
        <w:t>— физику, 3%</w:t>
      </w:r>
      <w:r w:rsidRPr="007C4303">
        <w:rPr>
          <w:rFonts w:hAnsi="Times New Roman" w:cs="Times New Roman"/>
          <w:color w:val="FF0000"/>
          <w:sz w:val="24"/>
          <w:szCs w:val="24"/>
        </w:rPr>
        <w:t> </w:t>
      </w:r>
      <w:r w:rsidRPr="007C4303">
        <w:rPr>
          <w:rFonts w:hAnsi="Times New Roman" w:cs="Times New Roman"/>
          <w:color w:val="FF0000"/>
          <w:sz w:val="24"/>
          <w:szCs w:val="24"/>
          <w:lang w:val="ru-RU"/>
        </w:rPr>
        <w:t>— литературу, 4%</w:t>
      </w:r>
      <w:r w:rsidRPr="007C4303">
        <w:rPr>
          <w:rFonts w:hAnsi="Times New Roman" w:cs="Times New Roman"/>
          <w:color w:val="FF0000"/>
          <w:sz w:val="24"/>
          <w:szCs w:val="24"/>
        </w:rPr>
        <w:t> </w:t>
      </w:r>
      <w:r w:rsidRPr="007C4303">
        <w:rPr>
          <w:rFonts w:hAnsi="Times New Roman" w:cs="Times New Roman"/>
          <w:color w:val="FF0000"/>
          <w:sz w:val="24"/>
          <w:szCs w:val="24"/>
          <w:lang w:val="ru-RU"/>
        </w:rPr>
        <w:t>— биологию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6%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информатику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ИКТ.</w:t>
      </w:r>
    </w:p>
    <w:p w:rsidR="00062039" w:rsidRDefault="00EC602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Результаты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ЕГЭ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9"/>
        <w:gridCol w:w="1376"/>
        <w:gridCol w:w="2132"/>
        <w:gridCol w:w="2173"/>
        <w:gridCol w:w="1367"/>
      </w:tblGrid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85.15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80.5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</w:tbl>
    <w:p w:rsidR="00062039" w:rsidRDefault="00062039">
      <w:pPr>
        <w:rPr>
          <w:rFonts w:hAnsi="Times New Roman" w:cs="Times New Roman"/>
          <w:color w:val="000000"/>
          <w:sz w:val="24"/>
          <w:szCs w:val="24"/>
        </w:rPr>
      </w:pPr>
    </w:p>
    <w:p w:rsidR="00062039" w:rsidRDefault="00EC602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расширили тему, связанную с изучением государственных символов, и добавили темы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, позволяющих углубить знания о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о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» в соответствии с письмом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062039" w:rsidRDefault="00EC602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0620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062039" w:rsidRPr="00EC60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10-й 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Перешли в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10-й 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Пошли на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ую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Pr="007C4303" w:rsidRDefault="00EC6026">
            <w:pPr>
              <w:rPr>
                <w:color w:val="FF0000"/>
              </w:rPr>
            </w:pPr>
            <w:r w:rsidRPr="007C4303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Pr="007C4303" w:rsidRDefault="00EC6026">
            <w:pPr>
              <w:rPr>
                <w:color w:val="FF0000"/>
              </w:rPr>
            </w:pPr>
            <w:r w:rsidRPr="007C4303">
              <w:rPr>
                <w:rFonts w:hAnsi="Times New Roman" w:cs="Times New Roman"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Pr="007C4303" w:rsidRDefault="00EC6026">
            <w:pPr>
              <w:rPr>
                <w:color w:val="FF0000"/>
              </w:rPr>
            </w:pPr>
            <w:r w:rsidRPr="007C4303">
              <w:rPr>
                <w:rFonts w:hAnsi="Times New Roman" w:cs="Times New Roman"/>
                <w:color w:val="FF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ВУЗ,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 xml:space="preserve">остается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стабильн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педагога,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них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человек имеет среднее специальное образование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обучается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вузе.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аттестацию прошли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062039" w:rsidRPr="00EC6026" w:rsidRDefault="00EC602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062039" w:rsidRPr="00EC6026" w:rsidRDefault="00EC6026" w:rsidP="007C430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062039" w:rsidRDefault="00EC602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062039" w:rsidRPr="00EC6026" w:rsidRDefault="00EC602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062039" w:rsidRPr="00EC6026" w:rsidRDefault="00EC6026" w:rsidP="007C430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062039" w:rsidRPr="00EC6026" w:rsidRDefault="00EC602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модернизацией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2022 году электронного документооборота работники, чьи трудовые функции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оформлением документов, прошли обучающие курсы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пользованию информационной платформой «1С: Предприятие»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разработчиков.</w:t>
      </w: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proofErr w:type="gramStart"/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62039" w:rsidRDefault="00EC602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2039" w:rsidRPr="007C4303" w:rsidRDefault="00EC602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7C4303">
        <w:rPr>
          <w:rFonts w:hAnsi="Times New Roman" w:cs="Times New Roman"/>
          <w:color w:val="FF0000"/>
          <w:sz w:val="24"/>
          <w:szCs w:val="24"/>
        </w:rPr>
        <w:t>объем библиотечного фонда — 5721 единица;</w:t>
      </w:r>
    </w:p>
    <w:p w:rsidR="00062039" w:rsidRPr="007C4303" w:rsidRDefault="00EC602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7C4303">
        <w:rPr>
          <w:rFonts w:hAnsi="Times New Roman" w:cs="Times New Roman"/>
          <w:color w:val="FF0000"/>
          <w:sz w:val="24"/>
          <w:szCs w:val="24"/>
        </w:rPr>
        <w:t>книгообеспеченность — 100 процентов;</w:t>
      </w:r>
    </w:p>
    <w:p w:rsidR="00062039" w:rsidRPr="007C4303" w:rsidRDefault="00EC602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7C4303">
        <w:rPr>
          <w:rFonts w:hAnsi="Times New Roman" w:cs="Times New Roman"/>
          <w:color w:val="FF0000"/>
          <w:sz w:val="24"/>
          <w:szCs w:val="24"/>
        </w:rPr>
        <w:t>обращаемость — 3578 единиц в год;</w:t>
      </w:r>
    </w:p>
    <w:p w:rsidR="00062039" w:rsidRPr="007C4303" w:rsidRDefault="00EC6026">
      <w:pPr>
        <w:numPr>
          <w:ilvl w:val="0"/>
          <w:numId w:val="10"/>
        </w:numPr>
        <w:ind w:left="780" w:right="180"/>
        <w:rPr>
          <w:rFonts w:hAnsi="Times New Roman" w:cs="Times New Roman"/>
          <w:color w:val="FF0000"/>
          <w:sz w:val="24"/>
          <w:szCs w:val="24"/>
        </w:rPr>
      </w:pPr>
      <w:proofErr w:type="gramStart"/>
      <w:r w:rsidRPr="007C4303">
        <w:rPr>
          <w:rFonts w:hAnsi="Times New Roman" w:cs="Times New Roman"/>
          <w:color w:val="FF0000"/>
          <w:sz w:val="24"/>
          <w:szCs w:val="24"/>
        </w:rPr>
        <w:t>объем</w:t>
      </w:r>
      <w:proofErr w:type="gramEnd"/>
      <w:r w:rsidRPr="007C4303">
        <w:rPr>
          <w:rFonts w:hAnsi="Times New Roman" w:cs="Times New Roman"/>
          <w:color w:val="FF0000"/>
          <w:sz w:val="24"/>
          <w:szCs w:val="24"/>
        </w:rPr>
        <w:t xml:space="preserve"> учебного фонда — 3131 единица.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062039" w:rsidRDefault="00EC602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593"/>
        <w:gridCol w:w="2908"/>
        <w:gridCol w:w="2297"/>
      </w:tblGrid>
      <w:tr w:rsidR="00062039" w:rsidRPr="00EC60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1338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дисков; сетевые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— 60.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 (презентации, электронные энциклопедии, дидактические материалы)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300.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062039" w:rsidRPr="00EC6026" w:rsidRDefault="000620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классные комнаты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которые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 современной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062039" w:rsidRDefault="00EC602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2039" w:rsidRDefault="00EC602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химии;</w:t>
      </w:r>
    </w:p>
    <w:p w:rsidR="00062039" w:rsidRDefault="00EC602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биологии;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2022 году Школа стала участником федеральной программы «Цифровая образовательная среда»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рамках национального проекта «Образование»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получила оборудование для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цифровой образовательной среды (ЦОС).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2039" w:rsidRPr="00EC6026" w:rsidRDefault="00EC6026" w:rsidP="00E14F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</w:t>
      </w:r>
      <w:r w:rsidR="00E14F23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="00E14F23" w:rsidRPr="00E14F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4F23" w:rsidRPr="00EC6026">
        <w:rPr>
          <w:rFonts w:hAnsi="Times New Roman" w:cs="Times New Roman"/>
          <w:color w:val="000000"/>
          <w:sz w:val="24"/>
          <w:szCs w:val="24"/>
          <w:lang w:val="ru-RU"/>
        </w:rPr>
        <w:t>столовая, пищеблок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этаже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="00E14F2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комбинированная мастерская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062039" w:rsidRPr="00EC6026" w:rsidRDefault="00EC6026" w:rsidP="00E14F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 марта 2022 года Школа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которые требуют модернизации. По итогам анализа учета микротравм работников Школа:</w:t>
      </w:r>
    </w:p>
    <w:p w:rsidR="00062039" w:rsidRDefault="00EC602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заменила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4F2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стульев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2039" w:rsidRPr="00EC6026" w:rsidRDefault="00EC602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закупила новый стол для собраний в учительской;</w:t>
      </w:r>
    </w:p>
    <w:p w:rsidR="00062039" w:rsidRPr="00EC6026" w:rsidRDefault="00EC602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отремонтировала напольное покрытие в 5 учебных кабинетах.</w:t>
      </w:r>
    </w:p>
    <w:p w:rsidR="00062039" w:rsidRPr="00EC6026" w:rsidRDefault="000620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62039" w:rsidRPr="00EC6026" w:rsidRDefault="00EC6026" w:rsidP="00E14F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выявлено, что уровень метапредметных результатов соответствуют среднему уровню, сформированность личностных результатов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2039" w:rsidRPr="00EC6026" w:rsidRDefault="00EC6026" w:rsidP="00E14F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14F23">
        <w:rPr>
          <w:rFonts w:hAnsi="Times New Roman" w:cs="Times New Roman"/>
          <w:color w:val="000000"/>
          <w:sz w:val="24"/>
          <w:szCs w:val="24"/>
          <w:lang w:val="ru-RU"/>
        </w:rPr>
        <w:t>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14F23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062039" w:rsidRPr="00EC6026" w:rsidRDefault="00EC6026" w:rsidP="00E14F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2022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анкетирования. Преимущества дистанционного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062039" w:rsidRPr="00EC6026" w:rsidRDefault="00E14F23" w:rsidP="00E14F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>% родителей отметили, что во</w:t>
      </w:r>
      <w:r w:rsidR="00EC6026">
        <w:rPr>
          <w:rFonts w:hAnsi="Times New Roman" w:cs="Times New Roman"/>
          <w:color w:val="000000"/>
          <w:sz w:val="24"/>
          <w:szCs w:val="24"/>
        </w:rPr>
        <w:t> 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 w:rsidR="00EC6026">
        <w:rPr>
          <w:rFonts w:hAnsi="Times New Roman" w:cs="Times New Roman"/>
          <w:color w:val="000000"/>
          <w:sz w:val="24"/>
          <w:szCs w:val="24"/>
        </w:rPr>
        <w:t> 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 w:rsidR="00EC6026">
        <w:rPr>
          <w:rFonts w:hAnsi="Times New Roman" w:cs="Times New Roman"/>
          <w:color w:val="000000"/>
          <w:sz w:val="24"/>
          <w:szCs w:val="24"/>
        </w:rPr>
        <w:t> 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 w:rsidR="00EC6026">
        <w:rPr>
          <w:rFonts w:hAnsi="Times New Roman" w:cs="Times New Roman"/>
          <w:color w:val="000000"/>
          <w:sz w:val="24"/>
          <w:szCs w:val="24"/>
        </w:rPr>
        <w:t> 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 w:rsidR="00EC6026">
        <w:rPr>
          <w:rFonts w:hAnsi="Times New Roman" w:cs="Times New Roman"/>
          <w:color w:val="000000"/>
          <w:sz w:val="24"/>
          <w:szCs w:val="24"/>
        </w:rPr>
        <w:t> 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 w:rsidR="00EC6026">
        <w:rPr>
          <w:rFonts w:hAnsi="Times New Roman" w:cs="Times New Roman"/>
          <w:color w:val="000000"/>
          <w:sz w:val="24"/>
          <w:szCs w:val="24"/>
        </w:rPr>
        <w:t> 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целом формальная успеваемость осталась прежней, 45% опрошенных считают, что 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переход на</w:t>
      </w:r>
      <w:r w:rsidR="00EC6026">
        <w:rPr>
          <w:rFonts w:hAnsi="Times New Roman" w:cs="Times New Roman"/>
          <w:color w:val="000000"/>
          <w:sz w:val="24"/>
          <w:szCs w:val="24"/>
        </w:rPr>
        <w:t> 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 w:rsidR="00EC6026">
        <w:rPr>
          <w:rFonts w:hAnsi="Times New Roman" w:cs="Times New Roman"/>
          <w:color w:val="000000"/>
          <w:sz w:val="24"/>
          <w:szCs w:val="24"/>
        </w:rPr>
        <w:t> 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0"/>
        <w:gridCol w:w="1474"/>
        <w:gridCol w:w="1433"/>
      </w:tblGrid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6203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14F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14F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14F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14F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14F23" w:rsidP="00E14F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C6026">
            <w:pPr>
              <w:rPr>
                <w:color w:val="FF0000"/>
              </w:rPr>
            </w:pPr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C6026">
            <w:pPr>
              <w:rPr>
                <w:color w:val="FF0000"/>
              </w:rPr>
            </w:pPr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C6026">
            <w:pPr>
              <w:rPr>
                <w:color w:val="FF0000"/>
              </w:rPr>
            </w:pPr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C6026">
            <w:pPr>
              <w:rPr>
                <w:color w:val="FF0000"/>
              </w:rPr>
            </w:pPr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C6026">
            <w:pPr>
              <w:rPr>
                <w:color w:val="FF0000"/>
              </w:rPr>
            </w:pPr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математике, 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14F23" w:rsidP="00E14F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14F23" w:rsidP="00E14F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14F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5%)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C6026">
            <w:pPr>
              <w:rPr>
                <w:color w:val="FF0000"/>
              </w:rPr>
            </w:pPr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3 (0</w:t>
            </w:r>
            <w:proofErr w:type="gramStart"/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,4</w:t>
            </w:r>
            <w:proofErr w:type="gramEnd"/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C6026">
            <w:pPr>
              <w:rPr>
                <w:color w:val="FF0000"/>
              </w:rPr>
            </w:pPr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C6026">
            <w:pPr>
              <w:rPr>
                <w:color w:val="FF0000"/>
              </w:rPr>
            </w:pPr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354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354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</w:t>
            </w:r>
            <w:proofErr w:type="gramStart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proofErr w:type="gramEnd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35426F" w:rsidP="003542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35426F" w:rsidP="003542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</w:t>
            </w:r>
            <w:proofErr w:type="gramStart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proofErr w:type="gramEnd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35426F" w:rsidP="003542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 w:rsidP="0035426F">
            <w:r>
              <w:rPr>
                <w:rFonts w:hAnsi="Times New Roman" w:cs="Times New Roman"/>
                <w:color w:val="000000"/>
                <w:sz w:val="24"/>
                <w:szCs w:val="24"/>
              </w:rPr>
              <w:t>2 (</w:t>
            </w:r>
            <w:r w:rsidR="00354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</w:t>
            </w:r>
            <w:proofErr w:type="gramStart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proofErr w:type="gramEnd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 w:rsidP="0035426F"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 w:rsidR="00354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 w:rsidP="0035426F">
            <w:r>
              <w:rPr>
                <w:rFonts w:hAnsi="Times New Roman" w:cs="Times New Roman"/>
                <w:color w:val="000000"/>
                <w:sz w:val="24"/>
                <w:szCs w:val="24"/>
              </w:rPr>
              <w:t>7 (</w:t>
            </w:r>
            <w:r w:rsidR="00354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proofErr w:type="gramStart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35426F" w:rsidP="003542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gramStart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proofErr w:type="gramEnd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35426F" w:rsidP="003542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354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EC6026">
            <w:pPr>
              <w:rPr>
                <w:color w:val="FF0000"/>
              </w:rPr>
            </w:pPr>
            <w:r w:rsidRPr="0035426F">
              <w:rPr>
                <w:rFonts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354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354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354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354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proofErr w:type="gramStart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3542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354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48,7</w:t>
            </w:r>
          </w:p>
        </w:tc>
      </w:tr>
    </w:tbl>
    <w:p w:rsidR="00062039" w:rsidRPr="00EC6026" w:rsidRDefault="00EC6026" w:rsidP="00354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062039" w:rsidRPr="00EC6026" w:rsidSect="0006203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0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E6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D3C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C5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10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26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B5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65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51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10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A83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415C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B17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2039"/>
    <w:rsid w:val="001D0019"/>
    <w:rsid w:val="002D33B1"/>
    <w:rsid w:val="002D3591"/>
    <w:rsid w:val="003514A0"/>
    <w:rsid w:val="0035426F"/>
    <w:rsid w:val="004F7E17"/>
    <w:rsid w:val="005A05CE"/>
    <w:rsid w:val="00653AF6"/>
    <w:rsid w:val="0069170E"/>
    <w:rsid w:val="007C4303"/>
    <w:rsid w:val="00B73A5A"/>
    <w:rsid w:val="00C84189"/>
    <w:rsid w:val="00D30D31"/>
    <w:rsid w:val="00E14F23"/>
    <w:rsid w:val="00E438A1"/>
    <w:rsid w:val="00EC6026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0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F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4484</Words>
  <Characters>25562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dc:description>Подготовлено экспертами Актион-МЦФЭР</dc:description>
  <cp:lastModifiedBy>14-5</cp:lastModifiedBy>
  <cp:revision>2</cp:revision>
  <dcterms:created xsi:type="dcterms:W3CDTF">2024-03-21T08:20:00Z</dcterms:created>
  <dcterms:modified xsi:type="dcterms:W3CDTF">2024-03-21T08:20:00Z</dcterms:modified>
</cp:coreProperties>
</file>