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Молчановская средняя школа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C6026">
        <w:rPr>
          <w:lang w:val="ru-RU"/>
        </w:rPr>
        <w:br/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«Молчановская С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101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3"/>
        <w:gridCol w:w="6286"/>
      </w:tblGrid>
      <w:tr w:rsidR="00EC6026" w:rsidRPr="00EC6026" w:rsidTr="00EC6026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 w:rsidP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«Молчановская СШ»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026" w:rsidRDefault="00EC6026" w:rsidP="00EC60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EC602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«Молчановская СШ»</w:t>
            </w:r>
            <w:r w:rsidRPr="00EC602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Т.В.Ахромеева </w:t>
            </w:r>
          </w:p>
          <w:p w:rsidR="00EC6026" w:rsidRDefault="00EC6026" w:rsidP="00EC60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Приказ №_____ от «_____»______2023</w:t>
            </w:r>
          </w:p>
          <w:p w:rsidR="00062039" w:rsidRPr="00EC6026" w:rsidRDefault="00EC6026" w:rsidP="00EC60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062039" w:rsidRPr="00EC6026" w:rsidRDefault="000620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EC6026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казенного 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 учреждения</w:t>
      </w:r>
      <w:r w:rsidRPr="00EC6026">
        <w:rPr>
          <w:lang w:val="ru-RU"/>
        </w:rPr>
        <w:br/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Молчановская средняя школа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</w:t>
      </w:r>
    </w:p>
    <w:p w:rsidR="00062039" w:rsidRPr="00EC6026" w:rsidRDefault="000620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Общие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42"/>
        <w:gridCol w:w="6335"/>
      </w:tblGrid>
      <w:tr w:rsidR="00EC6026" w:rsidRPr="00625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 w:rsidP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Молчановская средняя школа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«Молчановская СШ»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C60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Ахромеева Татьяна Ва</w:t>
            </w:r>
            <w:r w:rsidR="001D0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ильевна</w:t>
            </w:r>
          </w:p>
        </w:tc>
      </w:tr>
      <w:tr w:rsidR="00EC6026" w:rsidRPr="00625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 w:rsidP="00EC60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301984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Тульская область, Каменский район, п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олчаново, ул.Школьная, д.4</w:t>
            </w:r>
          </w:p>
        </w:tc>
      </w:tr>
      <w:tr w:rsidR="00EC60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 w:rsidP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848744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3-27-23</w:t>
            </w:r>
          </w:p>
        </w:tc>
      </w:tr>
      <w:tr w:rsidR="001D0019" w:rsidTr="008760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019" w:rsidRDefault="001D0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019" w:rsidRPr="00FB431C" w:rsidRDefault="001D0019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Molchanovskaya.kamen@tularegion.org</w:t>
            </w:r>
          </w:p>
        </w:tc>
      </w:tr>
      <w:tr w:rsidR="001D0019" w:rsidTr="008760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019" w:rsidRDefault="001D0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019" w:rsidRPr="00FB431C" w:rsidRDefault="001D0019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spellEnd"/>
          </w:p>
        </w:tc>
      </w:tr>
      <w:tr w:rsidR="001D0019" w:rsidTr="008760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019" w:rsidRDefault="001D00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019" w:rsidRPr="00FB431C" w:rsidRDefault="001D0019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1974год</w:t>
            </w:r>
          </w:p>
        </w:tc>
      </w:tr>
      <w:tr w:rsidR="001D0019" w:rsidTr="008760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019" w:rsidRDefault="001D0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019" w:rsidRPr="00FB431C" w:rsidRDefault="001D0019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 19.03.2015 № 0133/ 02310,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серия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71 Л01 № 0001526</w:t>
            </w:r>
          </w:p>
        </w:tc>
      </w:tr>
      <w:tr w:rsidR="001D0019" w:rsidRPr="006259BE" w:rsidTr="008760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019" w:rsidRDefault="001D0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019" w:rsidRPr="001D0019" w:rsidRDefault="001D0019" w:rsidP="001D00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0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От 22.04.2015 № 0134/01160, серия 71 А02  № 000244; срок действия: до 17июня 2023 года</w:t>
            </w:r>
          </w:p>
        </w:tc>
      </w:tr>
    </w:tbl>
    <w:p w:rsidR="001D0019" w:rsidRPr="001D0019" w:rsidRDefault="001D0019" w:rsidP="001D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МКОУ «Молчановская СШ» (далее – Школа) расположена в поселке Молчаново. Большинство семей обучающихся проживают в домах типовой застройки: 81 процент − рядом со Школой, 19 процентов – на близлежащих улицах.</w:t>
      </w:r>
    </w:p>
    <w:p w:rsidR="001D0019" w:rsidRPr="001D0019" w:rsidRDefault="001D0019" w:rsidP="001D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0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Основным видом деятельности Школы является реализация </w:t>
      </w:r>
      <w:proofErr w:type="gramStart"/>
      <w:r w:rsidRPr="001D00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общеобразовательных</w:t>
      </w:r>
      <w:proofErr w:type="gramEnd"/>
      <w:r w:rsidRPr="001D00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программ дошкольного общего, начального общего, основного общего и среднего </w:t>
      </w:r>
      <w:r w:rsidRPr="001D00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общего образования. Также Школа реализует образовательные программы дополнительного образования детей и взрослых.</w:t>
      </w: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организовали обучение 1-х, 5-х и 10-х классов по ООП, разработанным по обновленным ФГОС НОО, ООО и СОО. Мониторинг показал, что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графику, утвержденному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частью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lang w:val="ru-RU"/>
        </w:rPr>
        <w:br/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EC6026">
        <w:rPr>
          <w:lang w:val="ru-RU"/>
        </w:rPr>
        <w:br/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lang w:val="ru-RU"/>
        </w:rPr>
        <w:br/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школьного спортивного клуба;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lang w:val="ru-RU"/>
        </w:rPr>
        <w:br/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</w:p>
    <w:p w:rsidR="001D0019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мае 2022 года Школа организовала проведение обучающих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онлайн-семинаров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учителей совместно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специалистами ЦПМСС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специалистами центра «Катарсис»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Школа проводила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062039" w:rsidRPr="00EC6026" w:rsidRDefault="00EC60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062039" w:rsidRPr="00EC6026" w:rsidRDefault="00EC6026" w:rsidP="001D001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062039" w:rsidRPr="00EC6026" w:rsidRDefault="00EC60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spellStart"/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spellEnd"/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2039" w:rsidRPr="00EC6026" w:rsidRDefault="00EC60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062039" w:rsidRPr="00EC6026" w:rsidRDefault="00EC602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онлайн-лекции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062039" w:rsidRDefault="00EC602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2039" w:rsidRPr="001D0019" w:rsidRDefault="001D0019" w:rsidP="001D00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D00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C6026" w:rsidRPr="001D0019"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 w:rsidR="00EC6026" w:rsidRPr="001D0019">
        <w:rPr>
          <w:rFonts w:hAnsi="Times New Roman" w:cs="Times New Roman"/>
          <w:color w:val="000000"/>
          <w:sz w:val="24"/>
          <w:szCs w:val="24"/>
        </w:rPr>
        <w:t>;</w:t>
      </w:r>
    </w:p>
    <w:p w:rsidR="00062039" w:rsidRDefault="00EC602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062039" w:rsidRDefault="00062039" w:rsidP="001D0019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сентябре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опроса 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 xml:space="preserve">16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выявили, что </w:t>
      </w:r>
      <w:proofErr w:type="spellStart"/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spellEnd"/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 выбрало 5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D001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062039" w:rsidRPr="00EC6026" w:rsidRDefault="00EC6026" w:rsidP="001D00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2021/2022 учебного года пришлось периодически проводить дистанционные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дополнительного образования.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Учет родительского мнения показал, что почти половина родителей (законных представителей)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 образованию.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Тем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опрос 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сентябре 2022 года показал, что большая часть опрошенных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062039" w:rsidRPr="00EC6026" w:rsidRDefault="000620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4"/>
        <w:gridCol w:w="7173"/>
      </w:tblGrid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9170E" w:rsidRPr="00625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FB431C" w:rsidRDefault="0069170E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компетенции директора Учреждения относиться осуществление текущего руководства его деятельностью, в том числе: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 организация образовательной деятельности, ответственность за качество и эффективность работы Учреждения;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учебных планов, календарного учебного графика и расписание занятий; составление и утверждение штатного расписания, тарификационных списков, должностных обязанностей работников; прием на работу и увольнение педагогического, административного и обслуживающего персонала Учреждения; обеспечение охраны жизни и здоровья участников образовательных отношений, обеспечение их социальной защиты;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170E" w:rsidRPr="00625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FB431C" w:rsidRDefault="0069170E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Совет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Учреждения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решения по вопросу обеспечения безопасности и охраны Учреждения,  принимает необходимые меры, ограждающие педагогических работников и административный персонал Учреждения от необоснованных вмешательств в их профессиональную деятельность; содействует организации и улучшению условий труда педагогических и других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Учреждения; содействует организации конкурсов, соревнований и других массовых внешкольных мероприятий Учреждения;  содействует совершенствованию материально-технической базы Учреждения,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благоустройству его помещений и территории; </w:t>
            </w:r>
            <w:proofErr w:type="gramEnd"/>
          </w:p>
          <w:p w:rsidR="0069170E" w:rsidRPr="0069170E" w:rsidRDefault="0069170E" w:rsidP="00B81DE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69170E" w:rsidRPr="00625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FB431C" w:rsidRDefault="0069170E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Педагогический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 Учреждения в пределах своей компетенции: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разрабатывает и принимает программу развития Учреждения, 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повышения качества образовательного процесса, представляет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 для последующего утверждения;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утверждает план работы </w:t>
            </w:r>
            <w:proofErr w:type="gramStart"/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решения о допуске выпускников к государственной итоговой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аттестации и переводе учащихся в </w:t>
            </w:r>
            <w:proofErr w:type="gramStart"/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proofErr w:type="gramEnd"/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решение о выдаче соответствующих документов об образовании,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награждении и поощрении обучающихся и педагогических работников;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решения по любым вопросам, касающимся содержания образования;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осуществляет оценку показателей эффективности деятельности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Учреждения;</w:t>
            </w:r>
          </w:p>
          <w:p w:rsidR="0069170E" w:rsidRPr="0069170E" w:rsidRDefault="0069170E" w:rsidP="00B81DE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избирает из своего состава кандидатуры в состав Совета Учреждения;</w:t>
            </w:r>
          </w:p>
        </w:tc>
      </w:tr>
      <w:tr w:rsidR="0069170E" w:rsidRPr="00625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FB431C" w:rsidRDefault="0069170E" w:rsidP="00B81D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Общее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собрание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собрание работников в пределах своей компетенции: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участие в разработке коллективного договора, локальных нормативных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 Учреждения, затрагивающих права и законные интересы работников;</w:t>
            </w:r>
          </w:p>
          <w:p w:rsidR="0069170E" w:rsidRPr="0069170E" w:rsidRDefault="0069170E" w:rsidP="00B81D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избирает кандидатуры от Учреждения в общественные организации и органы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управления;</w:t>
            </w:r>
          </w:p>
          <w:p w:rsidR="0069170E" w:rsidRPr="0069170E" w:rsidRDefault="0069170E" w:rsidP="006917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вопросы о награждении работников Учреждения отраслевыми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ведомственными наградами</w:t>
            </w:r>
          </w:p>
        </w:tc>
      </w:tr>
    </w:tbl>
    <w:p w:rsidR="00062039" w:rsidRPr="00EC6026" w:rsidRDefault="00EC6026" w:rsidP="006917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062039" w:rsidRPr="00EC6026" w:rsidRDefault="00EC602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062039" w:rsidRPr="00EC6026" w:rsidRDefault="00EC6026" w:rsidP="0069170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062039" w:rsidRDefault="00EC602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039" w:rsidRPr="00EC6026" w:rsidRDefault="00EC6026" w:rsidP="006917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062039" w:rsidRPr="00EC6026" w:rsidRDefault="00EC6026" w:rsidP="006917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62039" w:rsidRPr="0069170E" w:rsidRDefault="00EC6026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69170E">
        <w:rPr>
          <w:rFonts w:hAnsi="Times New Roman" w:cs="Times New Roman"/>
          <w:b/>
          <w:bCs/>
          <w:color w:val="FF0000"/>
          <w:sz w:val="24"/>
          <w:szCs w:val="24"/>
        </w:rPr>
        <w:t>III</w:t>
      </w:r>
      <w:r w:rsidRPr="0069170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. Оценка содержания и</w:t>
      </w:r>
      <w:r w:rsidRPr="0069170E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69170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качества подготовки обучающихся</w:t>
      </w:r>
    </w:p>
    <w:p w:rsidR="00062039" w:rsidRPr="0069170E" w:rsidRDefault="00EC6026">
      <w:pPr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69170E">
        <w:rPr>
          <w:rFonts w:hAnsi="Times New Roman" w:cs="Times New Roman"/>
          <w:color w:val="FF0000"/>
          <w:sz w:val="24"/>
          <w:szCs w:val="24"/>
        </w:rPr>
        <w:t>Статистика</w:t>
      </w:r>
      <w:proofErr w:type="spellEnd"/>
      <w:r w:rsidRPr="0069170E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9170E">
        <w:rPr>
          <w:rFonts w:hAnsi="Times New Roman" w:cs="Times New Roman"/>
          <w:color w:val="FF0000"/>
          <w:sz w:val="24"/>
          <w:szCs w:val="24"/>
        </w:rPr>
        <w:t>показателей</w:t>
      </w:r>
      <w:proofErr w:type="spellEnd"/>
      <w:r w:rsidRPr="0069170E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9170E">
        <w:rPr>
          <w:rFonts w:hAnsi="Times New Roman" w:cs="Times New Roman"/>
          <w:color w:val="FF0000"/>
          <w:sz w:val="24"/>
          <w:szCs w:val="24"/>
        </w:rPr>
        <w:t>за</w:t>
      </w:r>
      <w:proofErr w:type="spellEnd"/>
      <w:r w:rsidRPr="0069170E">
        <w:rPr>
          <w:rFonts w:hAnsi="Times New Roman" w:cs="Times New Roman"/>
          <w:color w:val="FF0000"/>
          <w:sz w:val="24"/>
          <w:szCs w:val="24"/>
        </w:rPr>
        <w:t> 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2022 года</w:t>
            </w:r>
          </w:p>
        </w:tc>
      </w:tr>
      <w:tr w:rsidR="000620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</w:t>
            </w: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обучавшихся</w:t>
            </w:r>
            <w:proofErr w:type="gramEnd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62039" w:rsidRPr="006259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учеников, 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620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62039" w:rsidRPr="006259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сохраняется, при этом стабильно растет количество обучающихся Школы.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было.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4"/>
        <w:gridCol w:w="706"/>
        <w:gridCol w:w="601"/>
        <w:gridCol w:w="488"/>
        <w:gridCol w:w="1176"/>
        <w:gridCol w:w="376"/>
        <w:gridCol w:w="1383"/>
        <w:gridCol w:w="376"/>
        <w:gridCol w:w="601"/>
        <w:gridCol w:w="338"/>
        <w:gridCol w:w="601"/>
        <w:gridCol w:w="338"/>
        <w:gridCol w:w="902"/>
        <w:gridCol w:w="427"/>
      </w:tblGrid>
      <w:tr w:rsidR="00062039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62039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 был 50,4%),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12,5%).</w:t>
      </w:r>
      <w:proofErr w:type="gramEnd"/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0"/>
        <w:gridCol w:w="725"/>
        <w:gridCol w:w="617"/>
        <w:gridCol w:w="500"/>
        <w:gridCol w:w="1213"/>
        <w:gridCol w:w="384"/>
        <w:gridCol w:w="1213"/>
        <w:gridCol w:w="345"/>
        <w:gridCol w:w="617"/>
        <w:gridCol w:w="345"/>
        <w:gridCol w:w="617"/>
        <w:gridCol w:w="345"/>
        <w:gridCol w:w="929"/>
        <w:gridCol w:w="437"/>
      </w:tblGrid>
      <w:tr w:rsidR="000620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 был 33,7%),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2,3%).</w:t>
      </w:r>
      <w:proofErr w:type="gramEnd"/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644"/>
        <w:gridCol w:w="551"/>
        <w:gridCol w:w="450"/>
        <w:gridCol w:w="1062"/>
        <w:gridCol w:w="350"/>
        <w:gridCol w:w="1062"/>
        <w:gridCol w:w="350"/>
        <w:gridCol w:w="551"/>
        <w:gridCol w:w="317"/>
        <w:gridCol w:w="551"/>
        <w:gridCol w:w="317"/>
        <w:gridCol w:w="818"/>
        <w:gridCol w:w="396"/>
        <w:gridCol w:w="355"/>
        <w:gridCol w:w="619"/>
      </w:tblGrid>
      <w:tr w:rsidR="000620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2021 было 9%).</w:t>
      </w:r>
    </w:p>
    <w:p w:rsidR="00062039" w:rsidRPr="00EC6026" w:rsidRDefault="00EC6026" w:rsidP="006917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ВПР проводили в два этапа: в марте – в 4-х и 10-х классах, в сентябре и октябре – в 5-9-х классах. </w:t>
      </w:r>
      <w:r w:rsidR="0069170E" w:rsidRPr="00EC602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9170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компьютерной форме </w:t>
      </w:r>
      <w:r w:rsidR="0069170E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 w:rsidR="006917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17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2039" w:rsidRPr="00EC6026" w:rsidRDefault="00EC6026" w:rsidP="006917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Анализ результатов ГИА-22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показывает, что в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полтора раза уменьшилось число учеников с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одной тройкой. 15% для поступления в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вуз сдавали обществознание, 7%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— физику, 3%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— литературу, 4%</w:t>
      </w:r>
      <w:r w:rsidRPr="007C4303">
        <w:rPr>
          <w:rFonts w:hAnsi="Times New Roman" w:cs="Times New Roman"/>
          <w:color w:val="FF0000"/>
          <w:sz w:val="24"/>
          <w:szCs w:val="24"/>
        </w:rPr>
        <w:t> </w:t>
      </w:r>
      <w:r w:rsidRPr="007C4303">
        <w:rPr>
          <w:rFonts w:hAnsi="Times New Roman" w:cs="Times New Roman"/>
          <w:color w:val="FF0000"/>
          <w:sz w:val="24"/>
          <w:szCs w:val="24"/>
          <w:lang w:val="ru-RU"/>
        </w:rPr>
        <w:t>— биологию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информатику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ИКТ.</w:t>
      </w:r>
    </w:p>
    <w:p w:rsidR="00062039" w:rsidRDefault="00EC60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Результаты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9"/>
        <w:gridCol w:w="1376"/>
        <w:gridCol w:w="2132"/>
        <w:gridCol w:w="2173"/>
        <w:gridCol w:w="1367"/>
      </w:tblGrid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85.15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80.5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062039" w:rsidRDefault="00062039">
      <w:pPr>
        <w:rPr>
          <w:rFonts w:hAnsi="Times New Roman" w:cs="Times New Roman"/>
          <w:color w:val="000000"/>
          <w:sz w:val="24"/>
          <w:szCs w:val="24"/>
        </w:rPr>
      </w:pPr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, позволяющих углубить знания о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о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» в соответствии с письмом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0620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062039" w:rsidRPr="006259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10-й 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Перешли в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10-й 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Пошли на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ую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Pr="007C4303" w:rsidRDefault="00EC6026">
            <w:pPr>
              <w:rPr>
                <w:color w:val="FF0000"/>
              </w:rPr>
            </w:pPr>
            <w:r w:rsidRPr="007C4303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Pr="007C4303" w:rsidRDefault="00EC6026">
            <w:pPr>
              <w:rPr>
                <w:color w:val="FF0000"/>
              </w:rPr>
            </w:pPr>
            <w:r w:rsidRPr="007C4303">
              <w:rPr>
                <w:rFonts w:hAnsi="Times New Roman" w:cs="Times New Roman"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Pr="007C4303" w:rsidRDefault="00EC6026">
            <w:pPr>
              <w:rPr>
                <w:color w:val="FF0000"/>
              </w:rPr>
            </w:pPr>
            <w:r w:rsidRPr="007C4303">
              <w:rPr>
                <w:rFonts w:hAnsi="Times New Roman" w:cs="Times New Roman"/>
                <w:color w:val="FF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ВУЗ,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остается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стабильн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них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вузе.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аттестацию прошли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062039" w:rsidRPr="00EC6026" w:rsidRDefault="00EC602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062039" w:rsidRPr="00EC6026" w:rsidRDefault="00EC6026" w:rsidP="007C430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062039" w:rsidRDefault="00EC602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062039" w:rsidRPr="00EC6026" w:rsidRDefault="00EC602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062039" w:rsidRPr="00EC6026" w:rsidRDefault="00EC6026" w:rsidP="007C430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062039" w:rsidRPr="00EC6026" w:rsidRDefault="00EC602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модернизацией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году электронного документооборота работники, чьи трудовые функции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пользованию информационной платформой «1С: Предприятие»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разработчиков.</w:t>
      </w: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proofErr w:type="gramStart"/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62039" w:rsidRDefault="00EC602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2039" w:rsidRPr="007C4303" w:rsidRDefault="00EC602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7C4303">
        <w:rPr>
          <w:rFonts w:hAnsi="Times New Roman" w:cs="Times New Roman"/>
          <w:color w:val="FF0000"/>
          <w:sz w:val="24"/>
          <w:szCs w:val="24"/>
        </w:rPr>
        <w:t>объем библиотечного фонда — 5721 единица;</w:t>
      </w:r>
    </w:p>
    <w:p w:rsidR="00062039" w:rsidRPr="007C4303" w:rsidRDefault="00EC602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7C4303">
        <w:rPr>
          <w:rFonts w:hAnsi="Times New Roman" w:cs="Times New Roman"/>
          <w:color w:val="FF0000"/>
          <w:sz w:val="24"/>
          <w:szCs w:val="24"/>
        </w:rPr>
        <w:t>книгообеспеченность — 100 процентов;</w:t>
      </w:r>
    </w:p>
    <w:p w:rsidR="00062039" w:rsidRPr="007C4303" w:rsidRDefault="00EC602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7C4303">
        <w:rPr>
          <w:rFonts w:hAnsi="Times New Roman" w:cs="Times New Roman"/>
          <w:color w:val="FF0000"/>
          <w:sz w:val="24"/>
          <w:szCs w:val="24"/>
        </w:rPr>
        <w:t>обращаемость — 3578 единиц в год;</w:t>
      </w:r>
    </w:p>
    <w:p w:rsidR="00062039" w:rsidRPr="007C4303" w:rsidRDefault="00EC6026">
      <w:pPr>
        <w:numPr>
          <w:ilvl w:val="0"/>
          <w:numId w:val="10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proofErr w:type="gramStart"/>
      <w:r w:rsidRPr="007C4303">
        <w:rPr>
          <w:rFonts w:hAnsi="Times New Roman" w:cs="Times New Roman"/>
          <w:color w:val="FF0000"/>
          <w:sz w:val="24"/>
          <w:szCs w:val="24"/>
        </w:rPr>
        <w:t>объем</w:t>
      </w:r>
      <w:proofErr w:type="gramEnd"/>
      <w:r w:rsidRPr="007C4303">
        <w:rPr>
          <w:rFonts w:hAnsi="Times New Roman" w:cs="Times New Roman"/>
          <w:color w:val="FF0000"/>
          <w:sz w:val="24"/>
          <w:szCs w:val="24"/>
        </w:rPr>
        <w:t xml:space="preserve"> учебного фонда — 3131 единица.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062039" w:rsidRDefault="00EC602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593"/>
        <w:gridCol w:w="2908"/>
        <w:gridCol w:w="2297"/>
      </w:tblGrid>
      <w:tr w:rsidR="00062039" w:rsidRPr="00625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1338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дисков; сетевые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60.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300.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062039" w:rsidRPr="00EC6026" w:rsidRDefault="000620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>классные комнаты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которые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 современной </w:t>
      </w:r>
      <w:proofErr w:type="spell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062039" w:rsidRDefault="00EC60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2039" w:rsidRDefault="00EC60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:rsidR="00062039" w:rsidRDefault="00EC60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:rsidR="00062039" w:rsidRPr="00EC6026" w:rsidRDefault="00EC6026" w:rsidP="007C43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году Школа стала участником федеральной программы «Цифровая образовательная среда»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получила оборудование для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цифровой образовательной среды (ЦОС). </w:t>
      </w:r>
      <w:r w:rsidR="007C4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2039" w:rsidRPr="00EC6026" w:rsidRDefault="00EC6026" w:rsidP="00E14F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</w:t>
      </w:r>
      <w:r w:rsidR="00E14F23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="00E14F23" w:rsidRPr="00E14F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4F23" w:rsidRPr="00EC6026">
        <w:rPr>
          <w:rFonts w:hAnsi="Times New Roman" w:cs="Times New Roman"/>
          <w:color w:val="000000"/>
          <w:sz w:val="24"/>
          <w:szCs w:val="24"/>
          <w:lang w:val="ru-RU"/>
        </w:rPr>
        <w:t>столовая, пищеблок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="00E14F2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комбинированная мастерская 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062039" w:rsidRPr="00EC6026" w:rsidRDefault="00EC6026" w:rsidP="00E14F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062039" w:rsidRDefault="00EC602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заменила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4F2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стульев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2039" w:rsidRPr="00EC6026" w:rsidRDefault="00EC602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закупила новый стол для собраний в учительской;</w:t>
      </w:r>
    </w:p>
    <w:p w:rsidR="00062039" w:rsidRPr="00EC6026" w:rsidRDefault="00EC602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отремонтировала напольное покрытие в 5 учебных кабинетах.</w:t>
      </w:r>
    </w:p>
    <w:p w:rsidR="00062039" w:rsidRPr="00EC6026" w:rsidRDefault="000620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62039" w:rsidRPr="00EC6026" w:rsidRDefault="00EC6026" w:rsidP="00E14F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метапредметных результатов соответствуют среднему уровню, сформированность личностных результатов 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2039" w:rsidRPr="00EC6026" w:rsidRDefault="00EC6026" w:rsidP="00E14F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14F23">
        <w:rPr>
          <w:rFonts w:hAnsi="Times New Roman" w:cs="Times New Roman"/>
          <w:color w:val="000000"/>
          <w:sz w:val="24"/>
          <w:szCs w:val="24"/>
          <w:lang w:val="ru-RU"/>
        </w:rPr>
        <w:t>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14F23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062039" w:rsidRPr="00EC6026" w:rsidRDefault="00EC6026" w:rsidP="00E14F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</w:t>
      </w:r>
      <w:proofErr w:type="gramEnd"/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062039" w:rsidRPr="00EC6026" w:rsidRDefault="00E14F23" w:rsidP="00E14F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% родителей отметили, что во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 xml:space="preserve">целом формальная успеваемость осталась прежней, 45% опрошенных считают, что 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переход на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 w:rsidR="00EC6026">
        <w:rPr>
          <w:rFonts w:hAnsi="Times New Roman" w:cs="Times New Roman"/>
          <w:color w:val="000000"/>
          <w:sz w:val="24"/>
          <w:szCs w:val="24"/>
        </w:rPr>
        <w:t> </w:t>
      </w:r>
      <w:r w:rsidR="00EC6026" w:rsidRPr="00EC6026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062039" w:rsidRPr="00EC6026" w:rsidRDefault="00EC6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62039" w:rsidRPr="00EC6026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0"/>
        <w:gridCol w:w="1474"/>
        <w:gridCol w:w="1433"/>
      </w:tblGrid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620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14F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14F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14F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14F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14F23" w:rsidP="00E14F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математике, 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EC6026">
              <w:rPr>
                <w:lang w:val="ru-RU"/>
              </w:rPr>
              <w:br/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14F23" w:rsidP="00E14F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14F23" w:rsidP="00E14F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14F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5%)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3 (0</w:t>
            </w:r>
            <w:proofErr w:type="gramStart"/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,4</w:t>
            </w:r>
            <w:proofErr w:type="gramEnd"/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14F23" w:rsidRDefault="00EC6026">
            <w:pPr>
              <w:rPr>
                <w:color w:val="FF0000"/>
              </w:rPr>
            </w:pPr>
            <w:r w:rsidRPr="00E14F23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proofErr w:type="gramEnd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35426F" w:rsidP="003542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35426F" w:rsidP="003542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proofErr w:type="gramEnd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35426F" w:rsidP="003542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 w:rsidP="0035426F">
            <w:r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 w:rsidR="00354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proofErr w:type="gramEnd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 w:rsidP="0035426F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="00354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 w:rsidP="0035426F">
            <w:r>
              <w:rPr>
                <w:rFonts w:hAnsi="Times New Roman" w:cs="Times New Roman"/>
                <w:color w:val="000000"/>
                <w:sz w:val="24"/>
                <w:szCs w:val="24"/>
              </w:rPr>
              <w:t>7 (</w:t>
            </w:r>
            <w:r w:rsidR="00354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35426F" w:rsidP="003542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proofErr w:type="gramEnd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35426F" w:rsidP="003542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20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EC6026">
            <w:pPr>
              <w:rPr>
                <w:color w:val="FF0000"/>
              </w:rPr>
            </w:pPr>
            <w:r w:rsidRPr="0035426F">
              <w:rPr>
                <w:rFonts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20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0620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proofErr w:type="gramStart"/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3542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EC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620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EC6026" w:rsidRDefault="00EC6026">
            <w:pPr>
              <w:rPr>
                <w:lang w:val="ru-RU"/>
              </w:rPr>
            </w:pP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Default="00EC6026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039" w:rsidRPr="0035426F" w:rsidRDefault="003542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48,7</w:t>
            </w:r>
          </w:p>
        </w:tc>
      </w:tr>
    </w:tbl>
    <w:p w:rsidR="00062039" w:rsidRPr="00EC6026" w:rsidRDefault="00EC6026" w:rsidP="003542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6259BE" w:rsidRDefault="00EC6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602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6259BE" w:rsidRPr="006259BE" w:rsidRDefault="006259BE" w:rsidP="006259BE">
      <w:pPr>
        <w:rPr>
          <w:rFonts w:hAnsi="Times New Roman" w:cs="Times New Roman"/>
          <w:sz w:val="24"/>
          <w:szCs w:val="24"/>
          <w:lang w:val="ru-RU"/>
        </w:rPr>
      </w:pPr>
    </w:p>
    <w:p w:rsidR="006259BE" w:rsidRPr="006259BE" w:rsidRDefault="006259BE" w:rsidP="006259BE">
      <w:pPr>
        <w:rPr>
          <w:rFonts w:hAnsi="Times New Roman" w:cs="Times New Roman"/>
          <w:sz w:val="24"/>
          <w:szCs w:val="24"/>
          <w:lang w:val="ru-RU"/>
        </w:rPr>
      </w:pPr>
    </w:p>
    <w:p w:rsidR="006259BE" w:rsidRPr="006259BE" w:rsidRDefault="006259BE" w:rsidP="006259BE">
      <w:pPr>
        <w:rPr>
          <w:rFonts w:hAnsi="Times New Roman" w:cs="Times New Roman"/>
          <w:sz w:val="24"/>
          <w:szCs w:val="24"/>
          <w:lang w:val="ru-RU"/>
        </w:rPr>
      </w:pPr>
    </w:p>
    <w:p w:rsidR="006259BE" w:rsidRPr="006259BE" w:rsidRDefault="006259BE" w:rsidP="006259BE">
      <w:pPr>
        <w:rPr>
          <w:rFonts w:hAnsi="Times New Roman" w:cs="Times New Roman"/>
          <w:sz w:val="24"/>
          <w:szCs w:val="24"/>
          <w:lang w:val="ru-RU"/>
        </w:rPr>
      </w:pPr>
    </w:p>
    <w:p w:rsidR="006259BE" w:rsidRPr="006259BE" w:rsidRDefault="006259BE" w:rsidP="006259BE">
      <w:pPr>
        <w:tabs>
          <w:tab w:val="left" w:pos="2970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953000" cy="1628775"/>
            <wp:effectExtent l="19050" t="0" r="0" b="0"/>
            <wp:docPr id="2" name="Рисунок 2" descr="C:\Users\14-5\Desktop\Сибирцева\печать 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4-5\Desktop\Сибирцева\печать 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sz w:val="24"/>
          <w:szCs w:val="24"/>
          <w:lang w:val="ru-RU"/>
        </w:rPr>
        <w:tab/>
      </w:r>
    </w:p>
    <w:p w:rsidR="00062039" w:rsidRPr="006259BE" w:rsidRDefault="00062039" w:rsidP="006259BE">
      <w:pPr>
        <w:rPr>
          <w:rFonts w:hAnsi="Times New Roman" w:cs="Times New Roman"/>
          <w:sz w:val="24"/>
          <w:szCs w:val="24"/>
          <w:lang w:val="ru-RU"/>
        </w:rPr>
      </w:pPr>
    </w:p>
    <w:sectPr w:rsidR="00062039" w:rsidRPr="006259BE" w:rsidSect="0006203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0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E6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D3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C5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10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26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B5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65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51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10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83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415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B17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2039"/>
    <w:rsid w:val="001D0019"/>
    <w:rsid w:val="002D33B1"/>
    <w:rsid w:val="002D3591"/>
    <w:rsid w:val="003514A0"/>
    <w:rsid w:val="0035426F"/>
    <w:rsid w:val="004F7E17"/>
    <w:rsid w:val="005A05CE"/>
    <w:rsid w:val="006259BE"/>
    <w:rsid w:val="00653AF6"/>
    <w:rsid w:val="0069170E"/>
    <w:rsid w:val="007C4303"/>
    <w:rsid w:val="00B73A5A"/>
    <w:rsid w:val="00C76091"/>
    <w:rsid w:val="00E14F23"/>
    <w:rsid w:val="00E438A1"/>
    <w:rsid w:val="00EC602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0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F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dc:description>Подготовлено экспертами Актион-МЦФЭР</dc:description>
  <cp:lastModifiedBy>14-5</cp:lastModifiedBy>
  <cp:revision>3</cp:revision>
  <dcterms:created xsi:type="dcterms:W3CDTF">2023-04-13T19:37:00Z</dcterms:created>
  <dcterms:modified xsi:type="dcterms:W3CDTF">2024-04-02T07:41:00Z</dcterms:modified>
</cp:coreProperties>
</file>